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93" w:type="dxa"/>
        <w:tblInd w:w="-431" w:type="dxa"/>
        <w:tblLook w:val="04A0" w:firstRow="1" w:lastRow="0" w:firstColumn="1" w:lastColumn="0" w:noHBand="0" w:noVBand="1"/>
      </w:tblPr>
      <w:tblGrid>
        <w:gridCol w:w="5269"/>
        <w:gridCol w:w="4824"/>
      </w:tblGrid>
      <w:tr w:rsidR="00AF6D01" w:rsidRPr="00AF6D01" w14:paraId="2A3F08E2" w14:textId="77777777" w:rsidTr="00DA3DF6">
        <w:trPr>
          <w:trHeight w:val="482"/>
        </w:trPr>
        <w:tc>
          <w:tcPr>
            <w:tcW w:w="5269" w:type="dxa"/>
            <w:vAlign w:val="center"/>
          </w:tcPr>
          <w:p w14:paraId="1D400380" w14:textId="77777777" w:rsidR="00AF6D01" w:rsidRPr="00AF6D01" w:rsidRDefault="00AF6D01" w:rsidP="00AF6D01">
            <w:p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  <w:b/>
              </w:rPr>
              <w:t>Güçlü Yönler</w:t>
            </w:r>
          </w:p>
        </w:tc>
        <w:tc>
          <w:tcPr>
            <w:tcW w:w="4824" w:type="dxa"/>
            <w:vAlign w:val="center"/>
          </w:tcPr>
          <w:p w14:paraId="0A44FCEF" w14:textId="77777777" w:rsidR="00AF6D01" w:rsidRPr="00AF6D01" w:rsidRDefault="00AF6D01" w:rsidP="00AF6D01">
            <w:p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  <w:b/>
              </w:rPr>
              <w:t>Zayıf Yönler</w:t>
            </w:r>
          </w:p>
        </w:tc>
      </w:tr>
      <w:tr w:rsidR="00AF6D01" w:rsidRPr="00AF6D01" w14:paraId="7F6F75A6" w14:textId="77777777" w:rsidTr="00DA3DF6">
        <w:trPr>
          <w:trHeight w:val="2976"/>
        </w:trPr>
        <w:tc>
          <w:tcPr>
            <w:tcW w:w="5269" w:type="dxa"/>
            <w:vAlign w:val="center"/>
          </w:tcPr>
          <w:p w14:paraId="6BC0FC17" w14:textId="5EBBCE0F" w:rsidR="00DA3DF6" w:rsidRDefault="00DA3DF6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YÖKAK tarafından akredite olması</w:t>
            </w:r>
          </w:p>
          <w:p w14:paraId="75F193FB" w14:textId="52C85DBD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İleri teknolojiye sahip Merkezi Araştırma Laboratuvarına sahip olması</w:t>
            </w:r>
          </w:p>
          <w:p w14:paraId="13F6F777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YÖK tarafından “Ormancılık ve Tabiat Turizmi” alanında ihtisaslaşan üniversite olarak belirlenmesi</w:t>
            </w:r>
          </w:p>
          <w:p w14:paraId="476BFEEE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Üniversite olarak genç ve dinamik akademik ve idari personele sahip olması</w:t>
            </w:r>
          </w:p>
          <w:p w14:paraId="2192252D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Yabancı üniversiteler ile uluslararası iş birliklerinin sayısının fazla olması</w:t>
            </w:r>
          </w:p>
          <w:p w14:paraId="104C4680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Elektronik Belge ve Arşiv Yönetim Sisteminin özellikle idari personel tarafından aktif bir şekilde kullanılıyor olması</w:t>
            </w:r>
          </w:p>
          <w:p w14:paraId="0E21AB5F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Görme Engelli Kütüphaneleri Ortak Platformu (GEKOP) üyesi olması</w:t>
            </w:r>
          </w:p>
          <w:p w14:paraId="0FFBCB99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Çok kültürlü bir üniversite olması</w:t>
            </w:r>
          </w:p>
          <w:p w14:paraId="11F3481D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Meslek Yüksekokullarımızın sayısının fazla olmasından dolayı sahaya ara eleman yetiştirilmesine katkı sağlaması</w:t>
            </w:r>
          </w:p>
          <w:p w14:paraId="4798B214" w14:textId="77777777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Çoğu akademik ve idari birimlerin bir kampüs içerisinde yer almasından dolayı hızlı ve etkili iletişimin daha kolay sağlanması</w:t>
            </w:r>
          </w:p>
          <w:p w14:paraId="239A261F" w14:textId="1B4E8F1E" w:rsidR="00AF6D01" w:rsidRPr="00AF6D01" w:rsidRDefault="00AF6D01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26F3F64B">
              <w:rPr>
                <w:rFonts w:ascii="Times New Roman" w:hAnsi="Times New Roman" w:cs="Times New Roman"/>
              </w:rPr>
              <w:t>Kuzeykent</w:t>
            </w:r>
            <w:proofErr w:type="spellEnd"/>
            <w:r w:rsidRPr="26F3F64B">
              <w:rPr>
                <w:rFonts w:ascii="Times New Roman" w:hAnsi="Times New Roman" w:cs="Times New Roman"/>
              </w:rPr>
              <w:t xml:space="preserve"> Yerleşkesinin geniş bir araziye sahip olması ve farklı sosyal tesislerin inşasına imkân vermesi</w:t>
            </w:r>
          </w:p>
          <w:p w14:paraId="7B4A657F" w14:textId="56F1171E" w:rsidR="00AF6D01" w:rsidRPr="00AF6D01" w:rsidRDefault="155E67AC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Hizmet içi eğitim imkânlarının yeter</w:t>
            </w:r>
            <w:r w:rsidR="00DA3DF6">
              <w:rPr>
                <w:rFonts w:ascii="Times New Roman" w:hAnsi="Times New Roman" w:cs="Times New Roman"/>
              </w:rPr>
              <w:t>li</w:t>
            </w:r>
            <w:r w:rsidRPr="26F3F64B">
              <w:rPr>
                <w:rFonts w:ascii="Times New Roman" w:hAnsi="Times New Roman" w:cs="Times New Roman"/>
              </w:rPr>
              <w:t xml:space="preserve"> olması</w:t>
            </w:r>
          </w:p>
          <w:p w14:paraId="0F4108D7" w14:textId="6FA3961F" w:rsidR="00AF6D01" w:rsidRPr="00AF6D01" w:rsidRDefault="45811E5E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Tıp Fakültesi’nin Kastamonu Hastanesi ile iş birliği içinde çalışması</w:t>
            </w:r>
          </w:p>
          <w:p w14:paraId="4337E936" w14:textId="172EDDC2" w:rsidR="00AF6D01" w:rsidRPr="00AF6D01" w:rsidRDefault="26F2AD13" w:rsidP="00AF6D0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 xml:space="preserve">Sosyal </w:t>
            </w:r>
            <w:r w:rsidR="00DA3DF6">
              <w:rPr>
                <w:rFonts w:ascii="Times New Roman" w:hAnsi="Times New Roman" w:cs="Times New Roman"/>
              </w:rPr>
              <w:t>Ofis2in olması</w:t>
            </w:r>
          </w:p>
        </w:tc>
        <w:tc>
          <w:tcPr>
            <w:tcW w:w="4824" w:type="dxa"/>
            <w:vAlign w:val="center"/>
          </w:tcPr>
          <w:p w14:paraId="6A710185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Öğrenci sağlığına destek verecek birimlerin eksik olması</w:t>
            </w:r>
          </w:p>
          <w:p w14:paraId="63FCD7A8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Bazı akademik birimlerin kendi binalarına sahip olmaması</w:t>
            </w:r>
          </w:p>
          <w:p w14:paraId="6B4EB5D6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Bazı birimlerde akademik personel eksik olması</w:t>
            </w:r>
          </w:p>
          <w:p w14:paraId="42A6DEA4" w14:textId="7A909A65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 xml:space="preserve">Mezunlarla iletişimin </w:t>
            </w:r>
            <w:r w:rsidR="4465D2BB" w:rsidRPr="26F3F64B">
              <w:rPr>
                <w:rFonts w:ascii="Times New Roman" w:hAnsi="Times New Roman" w:cs="Times New Roman"/>
              </w:rPr>
              <w:t xml:space="preserve">istenilen </w:t>
            </w:r>
            <w:r w:rsidRPr="26F3F64B">
              <w:rPr>
                <w:rFonts w:ascii="Times New Roman" w:hAnsi="Times New Roman" w:cs="Times New Roman"/>
              </w:rPr>
              <w:t>düzeyde olmaması</w:t>
            </w:r>
          </w:p>
          <w:p w14:paraId="173A889B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Bazı birimlerdeki öğretim üyelerinin ders yüklerinin fazla olması</w:t>
            </w:r>
          </w:p>
          <w:p w14:paraId="2C969755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Bazı öğrenci kulüplerinin faal olmaması</w:t>
            </w:r>
          </w:p>
          <w:p w14:paraId="0513E92E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Diğer üniversiteler ile uluslararası iş birliklerinin belli bölgelerdeki üniversiteler ile sınırlı kalması</w:t>
            </w:r>
          </w:p>
          <w:p w14:paraId="7739792B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Peyzaj düzenlemesi olmayan bir kampüse sahip olması</w:t>
            </w:r>
          </w:p>
          <w:p w14:paraId="4FBB1CA1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Akademik personelin yabancı dil düzeyinin yetersiz olması</w:t>
            </w:r>
          </w:p>
          <w:p w14:paraId="4B701507" w14:textId="77777777" w:rsidR="00AF6D01" w:rsidRPr="00AF6D01" w:rsidRDefault="00AF6D01" w:rsidP="00AF6D0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Üniversitenin yeterli mali kaynaklara sahip olmaması</w:t>
            </w:r>
          </w:p>
        </w:tc>
      </w:tr>
      <w:tr w:rsidR="00AF6D01" w:rsidRPr="00AF6D01" w14:paraId="0D6F816A" w14:textId="77777777" w:rsidTr="00DA3DF6">
        <w:trPr>
          <w:trHeight w:val="498"/>
        </w:trPr>
        <w:tc>
          <w:tcPr>
            <w:tcW w:w="5269" w:type="dxa"/>
            <w:vAlign w:val="center"/>
          </w:tcPr>
          <w:p w14:paraId="7F7A9FC5" w14:textId="77777777" w:rsidR="00AF6D01" w:rsidRPr="00AF6D01" w:rsidRDefault="00AF6D01" w:rsidP="00AF6D01">
            <w:p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  <w:b/>
              </w:rPr>
              <w:t>Fırsatlar</w:t>
            </w:r>
          </w:p>
        </w:tc>
        <w:tc>
          <w:tcPr>
            <w:tcW w:w="4824" w:type="dxa"/>
            <w:vAlign w:val="center"/>
          </w:tcPr>
          <w:p w14:paraId="3E797490" w14:textId="77777777" w:rsidR="00AF6D01" w:rsidRPr="00AF6D01" w:rsidRDefault="00AF6D01" w:rsidP="00AF6D01">
            <w:p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  <w:b/>
              </w:rPr>
              <w:t>Tehditler</w:t>
            </w:r>
          </w:p>
        </w:tc>
      </w:tr>
      <w:tr w:rsidR="00AF6D01" w:rsidRPr="00AF6D01" w14:paraId="2ED2E36A" w14:textId="77777777" w:rsidTr="00DA3DF6">
        <w:trPr>
          <w:trHeight w:val="2976"/>
        </w:trPr>
        <w:tc>
          <w:tcPr>
            <w:tcW w:w="5269" w:type="dxa"/>
            <w:vAlign w:val="center"/>
          </w:tcPr>
          <w:p w14:paraId="0130FCB2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Ülkemizde AR-GE faaliyetlerine olan bakış açısının olumlu yönde gelişmesi</w:t>
            </w:r>
          </w:p>
          <w:p w14:paraId="0A37F1D2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Kastamonu ilinin zengin tarihi ve kültürel mirasının yanı sıra bölgenin zengin ekolojik özelliklere sahip olması</w:t>
            </w:r>
          </w:p>
          <w:p w14:paraId="48DABDF4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Bölgenin turizm potansiyelinin yüksek olması</w:t>
            </w:r>
          </w:p>
          <w:p w14:paraId="59C7C840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Güvenli bir şehir olması</w:t>
            </w:r>
          </w:p>
          <w:p w14:paraId="70487062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F6D01">
              <w:rPr>
                <w:rFonts w:ascii="Times New Roman" w:hAnsi="Times New Roman" w:cs="Times New Roman"/>
              </w:rPr>
              <w:t>Büyükşehirlere ulaşımın kolay olması</w:t>
            </w:r>
          </w:p>
          <w:p w14:paraId="6B855B3E" w14:textId="75B163B1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YÖK’ün misyon farklılaşmasına yönelik bakış açısının olumlu olması</w:t>
            </w:r>
          </w:p>
          <w:p w14:paraId="30C0E437" w14:textId="4557A036" w:rsidR="00AF6D01" w:rsidRPr="00AF6D01" w:rsidRDefault="66D8947E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Teknokent yapılanmasın</w:t>
            </w:r>
            <w:r w:rsidR="00DA3DF6">
              <w:rPr>
                <w:rFonts w:ascii="Times New Roman" w:hAnsi="Times New Roman" w:cs="Times New Roman"/>
              </w:rPr>
              <w:t>a sahip olması</w:t>
            </w:r>
          </w:p>
          <w:p w14:paraId="5B0FD319" w14:textId="60C0B16E" w:rsidR="00AF6D01" w:rsidRPr="00AF6D01" w:rsidRDefault="2D17DD28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Tıp Fakültesi’nin Kastamonu Hastanesi ile iş birliği içinde çalışması</w:t>
            </w:r>
          </w:p>
        </w:tc>
        <w:tc>
          <w:tcPr>
            <w:tcW w:w="4824" w:type="dxa"/>
            <w:vAlign w:val="center"/>
          </w:tcPr>
          <w:p w14:paraId="6E37FEA8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Büyükşehirlerde var olan sosyal imkânların Kastamonu’da gelişememesi</w:t>
            </w:r>
          </w:p>
          <w:p w14:paraId="115D3E6D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Bölge sanayinin yeterince gelişmemiş olması</w:t>
            </w:r>
          </w:p>
          <w:p w14:paraId="6221B727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Yeterli staj yerlerinin bulunamaması</w:t>
            </w:r>
          </w:p>
          <w:p w14:paraId="7575C643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Kadro ve bütçeye ilişkin kısıtlamalar</w:t>
            </w:r>
          </w:p>
          <w:p w14:paraId="536E73AE" w14:textId="77777777" w:rsidR="00AF6D01" w:rsidRPr="00AF6D01" w:rsidRDefault="00AF6D01" w:rsidP="00AF6D0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26F3F64B">
              <w:rPr>
                <w:rFonts w:ascii="Times New Roman" w:hAnsi="Times New Roman" w:cs="Times New Roman"/>
              </w:rPr>
              <w:t>Vakıf üniversitelerin devlet üniversite kadrolarındaki öğretim elemanlarını transfer etmesi nedeniyle yetişmiş akademik personel sayısının azalması</w:t>
            </w:r>
          </w:p>
        </w:tc>
      </w:tr>
    </w:tbl>
    <w:p w14:paraId="672A6659" w14:textId="304499F5" w:rsidR="00AF6D01" w:rsidRPr="00AF6D01" w:rsidRDefault="23B84554" w:rsidP="00AF6D01">
      <w:pPr>
        <w:rPr>
          <w:rFonts w:ascii="Times New Roman" w:hAnsi="Times New Roman" w:cs="Times New Roman"/>
        </w:rPr>
      </w:pPr>
      <w:r w:rsidRPr="26F3F64B">
        <w:rPr>
          <w:rFonts w:ascii="Times New Roman" w:hAnsi="Times New Roman" w:cs="Times New Roman"/>
        </w:rPr>
        <w:t xml:space="preserve">Güncellenme Tarihi: </w:t>
      </w:r>
      <w:r w:rsidR="00DA3DF6">
        <w:rPr>
          <w:rFonts w:ascii="Times New Roman" w:hAnsi="Times New Roman" w:cs="Times New Roman"/>
        </w:rPr>
        <w:t>16.10.2025</w:t>
      </w:r>
    </w:p>
    <w:sectPr w:rsidR="00AF6D01" w:rsidRPr="00AF6D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8F01" w14:textId="77777777" w:rsidR="00BA4142" w:rsidRDefault="00BA4142" w:rsidP="00AF6D01">
      <w:pPr>
        <w:spacing w:after="0" w:line="240" w:lineRule="auto"/>
      </w:pPr>
      <w:r>
        <w:separator/>
      </w:r>
    </w:p>
  </w:endnote>
  <w:endnote w:type="continuationSeparator" w:id="0">
    <w:p w14:paraId="2EC03A87" w14:textId="77777777" w:rsidR="00BA4142" w:rsidRDefault="00BA4142" w:rsidP="00AF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46169F" w:rsidRDefault="004616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46169F" w:rsidRDefault="004616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46169F" w:rsidRDefault="004616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6EDF" w14:textId="77777777" w:rsidR="00BA4142" w:rsidRDefault="00BA4142" w:rsidP="00AF6D01">
      <w:pPr>
        <w:spacing w:after="0" w:line="240" w:lineRule="auto"/>
      </w:pPr>
      <w:r>
        <w:separator/>
      </w:r>
    </w:p>
  </w:footnote>
  <w:footnote w:type="continuationSeparator" w:id="0">
    <w:p w14:paraId="58C33AE5" w14:textId="77777777" w:rsidR="00BA4142" w:rsidRDefault="00BA4142" w:rsidP="00AF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46169F" w:rsidRDefault="004616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90" w:type="dxa"/>
      <w:tblInd w:w="-442" w:type="dxa"/>
      <w:tblLook w:val="04A0" w:firstRow="1" w:lastRow="0" w:firstColumn="1" w:lastColumn="0" w:noHBand="0" w:noVBand="1"/>
    </w:tblPr>
    <w:tblGrid>
      <w:gridCol w:w="1566"/>
      <w:gridCol w:w="5278"/>
      <w:gridCol w:w="1532"/>
      <w:gridCol w:w="1414"/>
    </w:tblGrid>
    <w:tr w:rsidR="00AF6D01" w:rsidRPr="00C75635" w14:paraId="65780651" w14:textId="77777777" w:rsidTr="00AF6D01">
      <w:trPr>
        <w:trHeight w:val="273"/>
      </w:trPr>
      <w:tc>
        <w:tcPr>
          <w:tcW w:w="1542" w:type="dxa"/>
          <w:vMerge w:val="restart"/>
        </w:tcPr>
        <w:p w14:paraId="0A37501D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/>
            </w:rPr>
          </w:pPr>
          <w:r w:rsidRPr="00C75635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3563328B" wp14:editId="3996DE68">
                <wp:extent cx="854075" cy="827848"/>
                <wp:effectExtent l="0" t="0" r="317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Merge w:val="restart"/>
        </w:tcPr>
        <w:p w14:paraId="5DAB6C7B" w14:textId="77777777" w:rsidR="00AF6D01" w:rsidRPr="00C75635" w:rsidRDefault="00AF6D01" w:rsidP="00AF6D01">
          <w:pPr>
            <w:jc w:val="center"/>
            <w:rPr>
              <w:rFonts w:eastAsia="Century Gothic"/>
              <w:b/>
            </w:rPr>
          </w:pPr>
        </w:p>
        <w:p w14:paraId="38912008" w14:textId="77777777" w:rsidR="00AF6D01" w:rsidRPr="00C75635" w:rsidRDefault="0046169F" w:rsidP="00AF6D01">
          <w:pPr>
            <w:jc w:val="center"/>
          </w:pPr>
          <w:r w:rsidRPr="0046169F">
            <w:rPr>
              <w:rFonts w:ascii="Times New Roman" w:hAnsi="Times New Roman" w:cs="Times New Roman"/>
              <w:b/>
              <w:sz w:val="24"/>
            </w:rPr>
            <w:t>SWOT ANALİZİ</w:t>
          </w:r>
        </w:p>
      </w:tc>
      <w:tc>
        <w:tcPr>
          <w:tcW w:w="1535" w:type="dxa"/>
        </w:tcPr>
        <w:p w14:paraId="089FA997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1415" w:type="dxa"/>
        </w:tcPr>
        <w:p w14:paraId="02A580F3" w14:textId="77777777" w:rsidR="00AF6D01" w:rsidRPr="00C75635" w:rsidRDefault="0046169F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KYS-</w:t>
          </w:r>
          <w:r>
            <w:t xml:space="preserve"> </w:t>
          </w:r>
          <w:r w:rsidRPr="0046169F">
            <w:rPr>
              <w:rFonts w:eastAsia="Century Gothic"/>
              <w:sz w:val="20"/>
              <w:szCs w:val="20"/>
            </w:rPr>
            <w:t>ANL</w:t>
          </w:r>
          <w:r>
            <w:rPr>
              <w:rFonts w:eastAsia="Century Gothic"/>
              <w:sz w:val="20"/>
              <w:szCs w:val="20"/>
            </w:rPr>
            <w:t>-</w:t>
          </w:r>
          <w:r w:rsidRPr="0046169F">
            <w:rPr>
              <w:rFonts w:eastAsia="Century Gothic"/>
              <w:sz w:val="20"/>
              <w:szCs w:val="20"/>
            </w:rPr>
            <w:t>02</w:t>
          </w:r>
        </w:p>
      </w:tc>
    </w:tr>
    <w:tr w:rsidR="00AF6D01" w:rsidRPr="00C75635" w14:paraId="599149E6" w14:textId="77777777" w:rsidTr="00AF6D01">
      <w:trPr>
        <w:trHeight w:val="273"/>
      </w:trPr>
      <w:tc>
        <w:tcPr>
          <w:tcW w:w="1542" w:type="dxa"/>
          <w:vMerge/>
        </w:tcPr>
        <w:p w14:paraId="02EB378F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98" w:type="dxa"/>
          <w:vMerge/>
        </w:tcPr>
        <w:p w14:paraId="6A05A809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35" w:type="dxa"/>
        </w:tcPr>
        <w:p w14:paraId="0CEE9F64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1415" w:type="dxa"/>
        </w:tcPr>
        <w:p w14:paraId="42384536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03.01.2020</w:t>
          </w:r>
        </w:p>
      </w:tc>
    </w:tr>
    <w:tr w:rsidR="00AF6D01" w:rsidRPr="00C75635" w14:paraId="6CF3BD68" w14:textId="77777777" w:rsidTr="00AF6D01">
      <w:trPr>
        <w:trHeight w:val="288"/>
      </w:trPr>
      <w:tc>
        <w:tcPr>
          <w:tcW w:w="1542" w:type="dxa"/>
          <w:vMerge/>
        </w:tcPr>
        <w:p w14:paraId="5A39BBE3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98" w:type="dxa"/>
          <w:vMerge/>
        </w:tcPr>
        <w:p w14:paraId="41C8F396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35" w:type="dxa"/>
        </w:tcPr>
        <w:p w14:paraId="304D8FE2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Revizyon tarihi</w:t>
          </w:r>
        </w:p>
      </w:tc>
      <w:tc>
        <w:tcPr>
          <w:tcW w:w="1415" w:type="dxa"/>
        </w:tcPr>
        <w:p w14:paraId="6A09E912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-</w:t>
          </w:r>
        </w:p>
      </w:tc>
    </w:tr>
    <w:tr w:rsidR="00AF6D01" w:rsidRPr="00C75635" w14:paraId="470EEF1E" w14:textId="77777777" w:rsidTr="00AF6D01">
      <w:trPr>
        <w:trHeight w:val="288"/>
      </w:trPr>
      <w:tc>
        <w:tcPr>
          <w:tcW w:w="1542" w:type="dxa"/>
          <w:vMerge/>
        </w:tcPr>
        <w:p w14:paraId="72A3D3EC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98" w:type="dxa"/>
          <w:vMerge/>
        </w:tcPr>
        <w:p w14:paraId="0D0B940D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35" w:type="dxa"/>
        </w:tcPr>
        <w:p w14:paraId="116C6314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1415" w:type="dxa"/>
        </w:tcPr>
        <w:p w14:paraId="382C3BA8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00</w:t>
          </w:r>
        </w:p>
      </w:tc>
    </w:tr>
    <w:tr w:rsidR="00AF6D01" w:rsidRPr="00C75635" w14:paraId="28133DBD" w14:textId="77777777" w:rsidTr="00AF6D01">
      <w:trPr>
        <w:trHeight w:val="273"/>
      </w:trPr>
      <w:tc>
        <w:tcPr>
          <w:tcW w:w="1542" w:type="dxa"/>
          <w:vMerge/>
        </w:tcPr>
        <w:p w14:paraId="0E27B00A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98" w:type="dxa"/>
          <w:vMerge/>
        </w:tcPr>
        <w:p w14:paraId="60061E4C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  <w:tc>
        <w:tcPr>
          <w:tcW w:w="1535" w:type="dxa"/>
        </w:tcPr>
        <w:p w14:paraId="19F53092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1415" w:type="dxa"/>
        </w:tcPr>
        <w:p w14:paraId="5DAD580C" w14:textId="77777777" w:rsidR="00AF6D01" w:rsidRPr="00C75635" w:rsidRDefault="00AF6D01" w:rsidP="00AF6D01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C75635">
            <w:rPr>
              <w:rFonts w:eastAsia="Century Gothic"/>
              <w:sz w:val="20"/>
              <w:szCs w:val="20"/>
            </w:rPr>
            <w:t>1/</w:t>
          </w:r>
          <w:r>
            <w:rPr>
              <w:rFonts w:eastAsia="Century Gothic"/>
              <w:sz w:val="20"/>
              <w:szCs w:val="20"/>
            </w:rPr>
            <w:t>1</w:t>
          </w:r>
        </w:p>
      </w:tc>
    </w:tr>
  </w:tbl>
  <w:p w14:paraId="44EAFD9C" w14:textId="77777777" w:rsidR="00AF6D01" w:rsidRDefault="00AF6D01" w:rsidP="00AF6D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 w:rsidR="0046169F" w:rsidRDefault="004616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6978"/>
    <w:multiLevelType w:val="hybridMultilevel"/>
    <w:tmpl w:val="7400A1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FE6"/>
    <w:multiLevelType w:val="hybridMultilevel"/>
    <w:tmpl w:val="1A5EC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908A3"/>
    <w:multiLevelType w:val="hybridMultilevel"/>
    <w:tmpl w:val="10388F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E46CD"/>
    <w:multiLevelType w:val="hybridMultilevel"/>
    <w:tmpl w:val="EC96E0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94526">
    <w:abstractNumId w:val="1"/>
  </w:num>
  <w:num w:numId="2" w16cid:durableId="1341547564">
    <w:abstractNumId w:val="3"/>
  </w:num>
  <w:num w:numId="3" w16cid:durableId="797187335">
    <w:abstractNumId w:val="0"/>
  </w:num>
  <w:num w:numId="4" w16cid:durableId="12990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F7"/>
    <w:rsid w:val="002D14A3"/>
    <w:rsid w:val="00363193"/>
    <w:rsid w:val="0046169F"/>
    <w:rsid w:val="00504DAD"/>
    <w:rsid w:val="00AF6D01"/>
    <w:rsid w:val="00BA4142"/>
    <w:rsid w:val="00BC75F7"/>
    <w:rsid w:val="00BF7B1C"/>
    <w:rsid w:val="00D70CE4"/>
    <w:rsid w:val="00DA3DF6"/>
    <w:rsid w:val="0760798C"/>
    <w:rsid w:val="08FC49ED"/>
    <w:rsid w:val="0D74911C"/>
    <w:rsid w:val="0F10617D"/>
    <w:rsid w:val="0FD4963D"/>
    <w:rsid w:val="155E67AC"/>
    <w:rsid w:val="17024B05"/>
    <w:rsid w:val="23B84554"/>
    <w:rsid w:val="25DFB5E8"/>
    <w:rsid w:val="26F2AD13"/>
    <w:rsid w:val="26F3F64B"/>
    <w:rsid w:val="2CEFAFC7"/>
    <w:rsid w:val="2D17DD28"/>
    <w:rsid w:val="4465D2BB"/>
    <w:rsid w:val="45811E5E"/>
    <w:rsid w:val="66D8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6DE4"/>
  <w15:chartTrackingRefBased/>
  <w15:docId w15:val="{72E151B4-D2ED-483A-8634-FB9FE333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D01"/>
  </w:style>
  <w:style w:type="paragraph" w:styleId="AltBilgi">
    <w:name w:val="footer"/>
    <w:basedOn w:val="Normal"/>
    <w:link w:val="AltBilgiChar"/>
    <w:uiPriority w:val="99"/>
    <w:unhideWhenUsed/>
    <w:rsid w:val="00AF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D01"/>
  </w:style>
  <w:style w:type="table" w:styleId="TabloKlavuzu">
    <w:name w:val="Table Grid"/>
    <w:basedOn w:val="NormalTablo"/>
    <w:uiPriority w:val="39"/>
    <w:rsid w:val="00AF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AYCA NUR AYDOGAN</cp:lastModifiedBy>
  <cp:revision>5</cp:revision>
  <dcterms:created xsi:type="dcterms:W3CDTF">2022-01-13T07:26:00Z</dcterms:created>
  <dcterms:modified xsi:type="dcterms:W3CDTF">2025-10-17T07:55:00Z</dcterms:modified>
</cp:coreProperties>
</file>